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6984"/>
        <w:gridCol w:w="2654"/>
      </w:tblGrid>
      <w:tr w:rsidR="008F0481" w:rsidRPr="00D319EC" w:rsidTr="00D319EC">
        <w:trPr>
          <w:trHeight w:val="854"/>
        </w:trPr>
        <w:tc>
          <w:tcPr>
            <w:tcW w:w="6984" w:type="dxa"/>
          </w:tcPr>
          <w:p w:rsidR="008F0481" w:rsidRPr="00D319EC" w:rsidRDefault="00D319EC" w:rsidP="00D319EC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319EC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:rsidR="008F0481" w:rsidRPr="00D319EC" w:rsidRDefault="008F0481" w:rsidP="00D319EC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tbl>
      <w:tblPr>
        <w:tblStyle w:val="Grildeculoaredeschis-Accentuare6"/>
        <w:tblW w:w="0" w:type="auto"/>
        <w:tblLook w:val="04A0"/>
      </w:tblPr>
      <w:tblGrid>
        <w:gridCol w:w="3528"/>
        <w:gridCol w:w="6326"/>
      </w:tblGrid>
      <w:tr w:rsidR="00D319EC" w:rsidTr="00BF518C">
        <w:trPr>
          <w:cnfStyle w:val="100000000000"/>
        </w:trPr>
        <w:tc>
          <w:tcPr>
            <w:cnfStyle w:val="001000000000"/>
            <w:tcW w:w="3528" w:type="dxa"/>
          </w:tcPr>
          <w:p w:rsidR="00D319EC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326" w:type="dxa"/>
          </w:tcPr>
          <w:p w:rsidR="00D319EC" w:rsidRPr="004A1E15" w:rsidRDefault="00230444" w:rsidP="00BF518C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Inspectoratul școlar județean Iași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326" w:type="dxa"/>
          </w:tcPr>
          <w:p w:rsidR="00230444" w:rsidRPr="004A1E15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67330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326" w:type="dxa"/>
          </w:tcPr>
          <w:p w:rsidR="00230444" w:rsidRPr="004A1E15" w:rsidRDefault="003F7D67" w:rsidP="0067330E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61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Log On Back to Life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326" w:type="dxa"/>
          </w:tcPr>
          <w:p w:rsidR="00230444" w:rsidRPr="004A1E15" w:rsidRDefault="00230444" w:rsidP="00BF518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 strategic </w:t>
            </w: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Erasmus+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326" w:type="dxa"/>
          </w:tcPr>
          <w:p w:rsidR="00230444" w:rsidRPr="004A1E15" w:rsidRDefault="003F7D67" w:rsidP="00BF518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CE36B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2017-1-TR01-KA201-046632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326" w:type="dxa"/>
          </w:tcPr>
          <w:p w:rsidR="00230444" w:rsidRPr="004A1E15" w:rsidRDefault="00230444" w:rsidP="003F7D67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eastAsia="Calibri" w:hAnsi="Times New Roman" w:cs="Times New Roman"/>
                <w:sz w:val="24"/>
                <w:szCs w:val="24"/>
              </w:rPr>
              <w:t>01/09/201</w:t>
            </w:r>
            <w:r w:rsidR="003F7D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A1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31/08/201</w:t>
            </w:r>
            <w:r w:rsidR="003F7D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326" w:type="dxa"/>
          </w:tcPr>
          <w:p w:rsidR="00230444" w:rsidRPr="004A1E15" w:rsidRDefault="0004589C" w:rsidP="0023044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31266</w:t>
            </w:r>
            <w:r w:rsidR="00230444" w:rsidRPr="004A1E15">
              <w:rPr>
                <w:rFonts w:ascii="Times New Roman" w:hAnsi="Times New Roman" w:cs="Times New Roman"/>
                <w:sz w:val="24"/>
                <w:szCs w:val="24"/>
              </w:rPr>
              <w:t xml:space="preserve"> € 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europeni</w:t>
            </w:r>
          </w:p>
        </w:tc>
        <w:tc>
          <w:tcPr>
            <w:tcW w:w="6326" w:type="dxa"/>
          </w:tcPr>
          <w:p w:rsidR="00B74D35" w:rsidRPr="00755CCC" w:rsidRDefault="007C57A8" w:rsidP="007F63DA">
            <w:pPr>
              <w:spacing w:line="259" w:lineRule="auto"/>
              <w:cnfStyle w:val="000000100000"/>
            </w:pPr>
            <w:r w:rsidRPr="00755CCC">
              <w:t>ISTANBUL VALILIGI - COORDONATOR</w:t>
            </w:r>
          </w:p>
          <w:p w:rsidR="00B74D35" w:rsidRPr="00755CCC" w:rsidRDefault="00B74D35" w:rsidP="007F63DA">
            <w:pPr>
              <w:spacing w:line="259" w:lineRule="auto"/>
              <w:cnfStyle w:val="000000100000"/>
            </w:pPr>
            <w:r w:rsidRPr="00755CCC">
              <w:t>ANAPTYXIAKO KENTRO THESSALIAS</w:t>
            </w:r>
            <w:r w:rsidR="00704993">
              <w:t xml:space="preserve"> - Grecia</w:t>
            </w:r>
          </w:p>
          <w:p w:rsidR="004F06FA" w:rsidRPr="00755CCC" w:rsidRDefault="004F06FA" w:rsidP="007F63DA">
            <w:pPr>
              <w:spacing w:line="259" w:lineRule="auto"/>
              <w:cnfStyle w:val="000000100000"/>
            </w:pPr>
            <w:r w:rsidRPr="00755CCC">
              <w:t>UNIVERSITA DEGLI STUDI DI MILANO</w:t>
            </w:r>
            <w:r w:rsidR="00704993">
              <w:t xml:space="preserve"> - Italia</w:t>
            </w:r>
          </w:p>
          <w:p w:rsidR="004F06FA" w:rsidRPr="00755CCC" w:rsidRDefault="00704993" w:rsidP="007F63DA">
            <w:pPr>
              <w:spacing w:line="259" w:lineRule="auto"/>
              <w:cnfStyle w:val="000000100000"/>
            </w:pPr>
            <w:r w:rsidRPr="00704993">
              <w:t>DİPNOT DERNEGİ</w:t>
            </w:r>
            <w:r>
              <w:t xml:space="preserve"> - Turcia</w:t>
            </w:r>
          </w:p>
          <w:p w:rsidR="00230444" w:rsidRPr="004F06FA" w:rsidRDefault="000D69B7" w:rsidP="007F63DA">
            <w:pPr>
              <w:spacing w:line="259" w:lineRule="auto"/>
              <w:cnfStyle w:val="000000100000"/>
              <w:rPr>
                <w:b/>
              </w:rPr>
            </w:pPr>
            <w:r w:rsidRPr="000D69B7">
              <w:t>IZMIR YASAR UNIVERSITY</w:t>
            </w:r>
            <w:r w:rsidR="00704993">
              <w:t xml:space="preserve"> - </w:t>
            </w:r>
            <w:r w:rsidR="00704993" w:rsidRPr="00755CCC">
              <w:t>Tur</w:t>
            </w:r>
            <w:r w:rsidR="00704993">
              <w:t>cia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326" w:type="dxa"/>
          </w:tcPr>
          <w:p w:rsidR="00230444" w:rsidRDefault="0059243D" w:rsidP="00BF518C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Școli din jud Iași</w:t>
            </w:r>
          </w:p>
          <w:p w:rsidR="000F32E2" w:rsidRPr="004A1E15" w:rsidRDefault="0059243D" w:rsidP="0059243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CJRAE</w:t>
            </w:r>
            <w:r w:rsidR="00FB539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Iași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Scopul proiectului</w:t>
            </w:r>
          </w:p>
        </w:tc>
        <w:tc>
          <w:tcPr>
            <w:tcW w:w="6326" w:type="dxa"/>
          </w:tcPr>
          <w:p w:rsidR="00230444" w:rsidRDefault="00414956" w:rsidP="00414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prijini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rea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parteneri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lor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 proiect în abordarea unui efect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orizontal pentru toate țările: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dependenței de internet (IAD).</w:t>
            </w:r>
          </w:p>
          <w:p w:rsidR="00332596" w:rsidRPr="004A1E15" w:rsidRDefault="00332596" w:rsidP="0033259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Proiectul vizează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promovarea relațiilor interculturale și a soluțiilor la o problemă comună care se concentrează pe consolidarea gândirii critice a celor implicați, înțelegerea și respectul reciproc, adoptarea valorilor democratice și a drepturilor fundamentale.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A1E15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  <w:p w:rsidR="00230444" w:rsidRPr="004A1E15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326" w:type="dxa"/>
          </w:tcPr>
          <w:p w:rsidR="00332596" w:rsidRDefault="00332596" w:rsidP="0041495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7F63D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sprijinirea formatorilor în abordarea feno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menului dependenței de internet</w:t>
            </w:r>
          </w:p>
          <w:p w:rsidR="00332596" w:rsidRDefault="00332596" w:rsidP="0041495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ezvoltarea profesională continuă a cadrelor didactice </w:t>
            </w:r>
          </w:p>
          <w:p w:rsidR="00332596" w:rsidRDefault="00332596" w:rsidP="0041495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promovare a soluțiilor prin proiectarea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unui 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curriculum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ce 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încorpor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ează pedagogii inovatoare</w:t>
            </w:r>
          </w:p>
          <w:p w:rsidR="00332596" w:rsidRDefault="00332596" w:rsidP="0041495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crearea unei perspective mai atractive de orientare în carieră,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- 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promov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area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calitatea educațională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în predare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în favoarea principalilor actori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7F63DA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elev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ii. </w:t>
            </w:r>
          </w:p>
          <w:p w:rsidR="00230444" w:rsidRPr="00C0017E" w:rsidRDefault="00332596" w:rsidP="00332596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-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integrarea instrumentelor TIC în predare pentru a înțelege utilitatea noilor tehnologii de către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elev</w:t>
            </w:r>
            <w:r w:rsidR="00414956"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 într-un mod rațional.</w:t>
            </w:r>
          </w:p>
        </w:tc>
      </w:tr>
      <w:tr w:rsidR="00230444" w:rsidTr="00BF518C">
        <w:trPr>
          <w:cnfStyle w:val="00000010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4A1E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  <w:p w:rsidR="00230444" w:rsidRPr="004A1E15" w:rsidRDefault="00230444" w:rsidP="00BF518C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6326" w:type="dxa"/>
          </w:tcPr>
          <w:p w:rsidR="00414956" w:rsidRPr="00414956" w:rsidRDefault="00414956" w:rsidP="00414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O1 - Raport comparativ privind nivelul dependenței de internet al elevilor din învățământul secundar în țările partenerilor</w:t>
            </w:r>
          </w:p>
          <w:p w:rsidR="00414956" w:rsidRPr="00414956" w:rsidRDefault="00414956" w:rsidP="00414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O2 - Material de instruire adresat profesorilor din învățământul secundar privind tulburarea de dependență de internet a studenților</w:t>
            </w:r>
          </w:p>
          <w:p w:rsidR="00414956" w:rsidRPr="00414956" w:rsidRDefault="00414956" w:rsidP="00414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O3 - Material de conștientizare privind tulburările de dependență de internet ale studenților</w:t>
            </w:r>
          </w:p>
          <w:p w:rsidR="00414956" w:rsidRPr="00414956" w:rsidRDefault="00414956" w:rsidP="00414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O4 - Platformă online pentru formarea și conștientizarea dependenței de internet a studenților din învățământul secundar</w:t>
            </w:r>
          </w:p>
          <w:p w:rsidR="00414956" w:rsidRPr="00414956" w:rsidRDefault="00414956" w:rsidP="00414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O5 - Metodologie de cooperare pentru evaluarea și prevenirea 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dependenței de internet a elevilor din învățământul secundar</w:t>
            </w:r>
          </w:p>
          <w:p w:rsidR="00230444" w:rsidRDefault="00414956" w:rsidP="0041495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O6 - Ghid de referință privind evaluarea, prevenirea și tratamentul dependenței de internet</w:t>
            </w:r>
          </w:p>
          <w:p w:rsidR="00332596" w:rsidRDefault="00332596" w:rsidP="0033259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Proiectul se concentrează în primul rând pe aspecte legate de utilizarea rațională a internetului și a alfabetizării media, respingând fenomenele de violență care decurg din acesta.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roiect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ul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va sprijini tratamentul precoce al simptomelor care duc la dependența pe termen lung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de internetul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prin prevenire și intervenție timpurie. </w:t>
            </w:r>
          </w:p>
          <w:p w:rsidR="00332596" w:rsidRPr="004A1E15" w:rsidRDefault="00332596" w:rsidP="00332596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Prin materiale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și metodologii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le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produse în timpul proiectului, va fi posibil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abordarea fenomenului abandonului școlar prin demonstrarea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la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elevi</w:t>
            </w:r>
            <w:r w:rsidRPr="0041495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 impactului pozitiv al internetului și a metodelor de evitare a consecințelor care decurg din acesta.</w:t>
            </w:r>
          </w:p>
        </w:tc>
      </w:tr>
      <w:tr w:rsidR="00230444" w:rsidTr="00BF518C">
        <w:trPr>
          <w:cnfStyle w:val="000000010000"/>
        </w:trPr>
        <w:tc>
          <w:tcPr>
            <w:cnfStyle w:val="001000000000"/>
            <w:tcW w:w="3528" w:type="dxa"/>
          </w:tcPr>
          <w:p w:rsidR="00230444" w:rsidRPr="004A1E15" w:rsidRDefault="00230444" w:rsidP="00BF518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lastRenderedPageBreak/>
              <w:t>Detalii</w:t>
            </w:r>
          </w:p>
        </w:tc>
        <w:tc>
          <w:tcPr>
            <w:tcW w:w="6326" w:type="dxa"/>
          </w:tcPr>
          <w:p w:rsidR="005903AC" w:rsidRPr="004A1E15" w:rsidRDefault="006062CE" w:rsidP="0059243D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Pr="0060211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www.lms.logonback2life.eu</w:t>
              </w:r>
            </w:hyperlink>
          </w:p>
        </w:tc>
      </w:tr>
    </w:tbl>
    <w:p w:rsidR="00230444" w:rsidRDefault="00230444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6FA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F06FA" w:rsidRPr="008C54F8" w:rsidRDefault="004F06FA" w:rsidP="008C54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8C54F8" w:rsidSect="00EE41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86" w:rsidRDefault="008F3986" w:rsidP="00EE41AB">
      <w:pPr>
        <w:spacing w:after="0" w:line="240" w:lineRule="auto"/>
      </w:pPr>
      <w:r>
        <w:separator/>
      </w:r>
    </w:p>
  </w:endnote>
  <w:endnote w:type="continuationSeparator" w:id="1">
    <w:p w:rsidR="008F3986" w:rsidRDefault="008F3986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ED" w:rsidRDefault="00CD4AED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ED" w:rsidRDefault="00CD4AED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7370"/>
      <w:gridCol w:w="329"/>
      <w:gridCol w:w="1939"/>
    </w:tblGrid>
    <w:tr w:rsidR="00AF0FF9" w:rsidRPr="00AF0FF9" w:rsidTr="00AF0FF9">
      <w:tc>
        <w:tcPr>
          <w:tcW w:w="7371" w:type="dxa"/>
          <w:vAlign w:val="bottom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  <w:vAlign w:val="bottom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1939" w:type="dxa"/>
          <w:vAlign w:val="bottom"/>
        </w:tcPr>
        <w:p w:rsidR="00AF0FF9" w:rsidRPr="00B969CF" w:rsidRDefault="00AF0FF9" w:rsidP="00EE41AB">
          <w:pPr>
            <w:pStyle w:val="Elementografico"/>
            <w:rPr>
              <w:lang w:val="en-US"/>
            </w:rPr>
          </w:pPr>
        </w:p>
      </w:tc>
    </w:tr>
    <w:tr w:rsidR="00AF0FF9" w:rsidRPr="00AF0FF9" w:rsidTr="00AF0FF9">
      <w:trPr>
        <w:trHeight w:hRule="exact" w:val="86"/>
      </w:trPr>
      <w:tc>
        <w:tcPr>
          <w:tcW w:w="7371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329" w:type="dxa"/>
          <w:shd w:val="clear" w:color="auto" w:fill="auto"/>
        </w:tcPr>
        <w:p w:rsidR="00AF0FF9" w:rsidRPr="00B969CF" w:rsidRDefault="00AF0FF9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:rsidR="00AF0FF9" w:rsidRPr="00B969CF" w:rsidRDefault="00AF0FF9" w:rsidP="00EE41AB">
          <w:pPr>
            <w:rPr>
              <w:lang w:val="en-US"/>
            </w:rPr>
          </w:pPr>
        </w:p>
      </w:tc>
    </w:tr>
  </w:tbl>
  <w:p w:rsidR="00AF0FF9" w:rsidRPr="00EE41AB" w:rsidRDefault="00AF0FF9">
    <w:pPr>
      <w:pStyle w:val="Subsol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86" w:rsidRDefault="008F3986" w:rsidP="00EE41AB">
      <w:pPr>
        <w:spacing w:after="0" w:line="240" w:lineRule="auto"/>
      </w:pPr>
      <w:r>
        <w:separator/>
      </w:r>
    </w:p>
  </w:footnote>
  <w:footnote w:type="continuationSeparator" w:id="1">
    <w:p w:rsidR="008F3986" w:rsidRDefault="008F3986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ED" w:rsidRDefault="00CD4AED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4"/>
      <w:gridCol w:w="6927"/>
    </w:tblGrid>
    <w:tr w:rsidR="00AF0FF9" w:rsidRPr="00B969CF" w:rsidTr="00EE41AB">
      <w:trPr>
        <w:trHeight w:hRule="exact" w:val="720"/>
      </w:trPr>
      <w:tc>
        <w:tcPr>
          <w:tcW w:w="2389" w:type="dxa"/>
          <w:vAlign w:val="bottom"/>
        </w:tcPr>
        <w:p w:rsidR="00AF0FF9" w:rsidRPr="00306653" w:rsidRDefault="00AF0FF9" w:rsidP="00EE41AB">
          <w:pPr>
            <w:pStyle w:val="Dat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:rsidR="00AF0FF9" w:rsidRPr="0053461B" w:rsidRDefault="00AF0FF9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AF0FF9" w:rsidRPr="00B969CF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:rsidR="00AF0FF9" w:rsidRPr="00A22A1E" w:rsidRDefault="00AF0FF9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:rsidR="00AF0FF9" w:rsidRPr="00B969CF" w:rsidRDefault="00AF0FF9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:rsidR="00AF0FF9" w:rsidRPr="00B969CF" w:rsidRDefault="00AF0FF9" w:rsidP="00EE41AB">
    <w:pPr>
      <w:spacing w:after="0" w:line="240" w:lineRule="auto"/>
      <w:rPr>
        <w:sz w:val="2"/>
        <w:szCs w:val="2"/>
      </w:rPr>
    </w:pPr>
  </w:p>
  <w:p w:rsidR="00AF0FF9" w:rsidRPr="00EE41AB" w:rsidRDefault="00AF0FF9" w:rsidP="00EE41AB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56" w:rsidRDefault="00851612" w:rsidP="00851612">
    <w:pPr>
      <w:tabs>
        <w:tab w:val="center" w:pos="4819"/>
      </w:tabs>
    </w:pPr>
    <w:r w:rsidRPr="00851612"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2882265</wp:posOffset>
          </wp:positionH>
          <wp:positionV relativeFrom="paragraph">
            <wp:posOffset>-112395</wp:posOffset>
          </wp:positionV>
          <wp:extent cx="1092835" cy="930275"/>
          <wp:effectExtent l="19050" t="0" r="0" b="0"/>
          <wp:wrapTight wrapText="bothSides">
            <wp:wrapPolygon edited="0">
              <wp:start x="-377" y="0"/>
              <wp:lineTo x="-377" y="21231"/>
              <wp:lineTo x="21462" y="21231"/>
              <wp:lineTo x="21462" y="0"/>
              <wp:lineTo x="-377" y="0"/>
            </wp:wrapPolygon>
          </wp:wrapTight>
          <wp:docPr id="4" name="Imagine 1" descr="LOGO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9" name="Imagine 1" descr="LOG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3FCC">
      <w:rPr>
        <w:rFonts w:ascii="Times New Roman" w:hAnsi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-112395</wp:posOffset>
          </wp:positionV>
          <wp:extent cx="1512570" cy="650240"/>
          <wp:effectExtent l="19050" t="0" r="0" b="0"/>
          <wp:wrapTight wrapText="bothSides">
            <wp:wrapPolygon edited="0">
              <wp:start x="-272" y="0"/>
              <wp:lineTo x="-272" y="20883"/>
              <wp:lineTo x="21491" y="20883"/>
              <wp:lineTo x="21491" y="0"/>
              <wp:lineTo x="-272" y="0"/>
            </wp:wrapPolygon>
          </wp:wrapTight>
          <wp:docPr id="1" name="Imagine 1" descr="https://www.goethe.de/resources/files/jpg304/Intro_Erasm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https://www.goethe.de/resources/files/jpg304/Intro_Erasmus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5E56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tbl>
    <w:tblPr>
      <w:tblW w:w="5001" w:type="pct"/>
      <w:tblCellMar>
        <w:left w:w="0" w:type="dxa"/>
        <w:right w:w="0" w:type="dxa"/>
      </w:tblCellMar>
      <w:tblLook w:val="04A0"/>
    </w:tblPr>
    <w:tblGrid>
      <w:gridCol w:w="2389"/>
      <w:gridCol w:w="326"/>
      <w:gridCol w:w="6925"/>
    </w:tblGrid>
    <w:tr w:rsidR="00AF0FF9" w:rsidTr="008B5E56">
      <w:trPr>
        <w:trHeight w:hRule="exact" w:val="720"/>
      </w:trPr>
      <w:tc>
        <w:tcPr>
          <w:tcW w:w="1239" w:type="pct"/>
          <w:vAlign w:val="bottom"/>
        </w:tcPr>
        <w:p w:rsidR="00AF0FF9" w:rsidRPr="00AF0FF9" w:rsidRDefault="00AF0FF9" w:rsidP="008B5E56">
          <w:pPr>
            <w:pStyle w:val="Dat"/>
            <w:rPr>
              <w:rFonts w:ascii="Verdana" w:hAnsi="Verdana"/>
            </w:rPr>
          </w:pPr>
        </w:p>
      </w:tc>
      <w:tc>
        <w:tcPr>
          <w:tcW w:w="169" w:type="pct"/>
          <w:shd w:val="clear" w:color="auto" w:fill="auto"/>
          <w:vAlign w:val="bottom"/>
        </w:tcPr>
        <w:p w:rsidR="00AF0FF9" w:rsidRDefault="00AF0FF9" w:rsidP="00EE41AB"/>
      </w:tc>
      <w:tc>
        <w:tcPr>
          <w:tcW w:w="3592" w:type="pct"/>
          <w:vAlign w:val="bottom"/>
        </w:tcPr>
        <w:p w:rsidR="00AF0FF9" w:rsidRDefault="00AF0FF9" w:rsidP="00EE41AB"/>
      </w:tc>
    </w:tr>
    <w:tr w:rsidR="00AF0FF9" w:rsidTr="008B5E56">
      <w:trPr>
        <w:trHeight w:hRule="exact" w:val="86"/>
      </w:trPr>
      <w:tc>
        <w:tcPr>
          <w:tcW w:w="1239" w:type="pct"/>
          <w:shd w:val="clear" w:color="auto" w:fill="000000" w:themeFill="text1"/>
        </w:tcPr>
        <w:p w:rsidR="00AF0FF9" w:rsidRDefault="00AF0FF9" w:rsidP="00EE41AB"/>
      </w:tc>
      <w:tc>
        <w:tcPr>
          <w:tcW w:w="169" w:type="pct"/>
          <w:shd w:val="clear" w:color="auto" w:fill="auto"/>
        </w:tcPr>
        <w:p w:rsidR="00AF0FF9" w:rsidRDefault="00AF0FF9" w:rsidP="00EE41AB"/>
      </w:tc>
      <w:tc>
        <w:tcPr>
          <w:tcW w:w="3592" w:type="pct"/>
          <w:shd w:val="clear" w:color="auto" w:fill="000000" w:themeFill="text1"/>
        </w:tcPr>
        <w:p w:rsidR="00AF0FF9" w:rsidRDefault="00AF0FF9" w:rsidP="00EE41AB"/>
      </w:tc>
    </w:tr>
  </w:tbl>
  <w:p w:rsidR="00AF0FF9" w:rsidRDefault="00AF0FF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E41AB"/>
    <w:rsid w:val="00030AC2"/>
    <w:rsid w:val="0004505C"/>
    <w:rsid w:val="0004589C"/>
    <w:rsid w:val="0005510C"/>
    <w:rsid w:val="00081A8C"/>
    <w:rsid w:val="000B0909"/>
    <w:rsid w:val="000C08C6"/>
    <w:rsid w:val="000D46C5"/>
    <w:rsid w:val="000D69B7"/>
    <w:rsid w:val="000F32E2"/>
    <w:rsid w:val="000F4A54"/>
    <w:rsid w:val="0012132D"/>
    <w:rsid w:val="0014336A"/>
    <w:rsid w:val="00186B76"/>
    <w:rsid w:val="00196C18"/>
    <w:rsid w:val="001D476D"/>
    <w:rsid w:val="001D4E63"/>
    <w:rsid w:val="00230444"/>
    <w:rsid w:val="002573B5"/>
    <w:rsid w:val="00274351"/>
    <w:rsid w:val="00281EB1"/>
    <w:rsid w:val="00325C9A"/>
    <w:rsid w:val="00332596"/>
    <w:rsid w:val="00343FCC"/>
    <w:rsid w:val="00364F1E"/>
    <w:rsid w:val="00382980"/>
    <w:rsid w:val="003939B6"/>
    <w:rsid w:val="0039669F"/>
    <w:rsid w:val="003D5008"/>
    <w:rsid w:val="003F3126"/>
    <w:rsid w:val="003F7D67"/>
    <w:rsid w:val="00414956"/>
    <w:rsid w:val="00422B82"/>
    <w:rsid w:val="004605D6"/>
    <w:rsid w:val="00466025"/>
    <w:rsid w:val="00471FBA"/>
    <w:rsid w:val="00485B67"/>
    <w:rsid w:val="00496938"/>
    <w:rsid w:val="004A1E15"/>
    <w:rsid w:val="004F06FA"/>
    <w:rsid w:val="00533094"/>
    <w:rsid w:val="0053461B"/>
    <w:rsid w:val="0056274F"/>
    <w:rsid w:val="005865CE"/>
    <w:rsid w:val="005903AC"/>
    <w:rsid w:val="0059243D"/>
    <w:rsid w:val="005D37AA"/>
    <w:rsid w:val="005F30AF"/>
    <w:rsid w:val="00600BC4"/>
    <w:rsid w:val="0060353C"/>
    <w:rsid w:val="006062CE"/>
    <w:rsid w:val="006073EE"/>
    <w:rsid w:val="0062362D"/>
    <w:rsid w:val="0062701F"/>
    <w:rsid w:val="006357D5"/>
    <w:rsid w:val="00640025"/>
    <w:rsid w:val="00673054"/>
    <w:rsid w:val="00674634"/>
    <w:rsid w:val="006E73CA"/>
    <w:rsid w:val="00703A70"/>
    <w:rsid w:val="00704993"/>
    <w:rsid w:val="00714AFE"/>
    <w:rsid w:val="00722405"/>
    <w:rsid w:val="0072353E"/>
    <w:rsid w:val="0072437A"/>
    <w:rsid w:val="00726612"/>
    <w:rsid w:val="00733F97"/>
    <w:rsid w:val="00742651"/>
    <w:rsid w:val="007464AB"/>
    <w:rsid w:val="00755CCC"/>
    <w:rsid w:val="00756A35"/>
    <w:rsid w:val="007B04BC"/>
    <w:rsid w:val="007C57A8"/>
    <w:rsid w:val="007D5FE9"/>
    <w:rsid w:val="007F2D55"/>
    <w:rsid w:val="007F63DA"/>
    <w:rsid w:val="008022BF"/>
    <w:rsid w:val="00851612"/>
    <w:rsid w:val="008A4C08"/>
    <w:rsid w:val="008B5E56"/>
    <w:rsid w:val="008C54F8"/>
    <w:rsid w:val="008F0481"/>
    <w:rsid w:val="008F3986"/>
    <w:rsid w:val="009216F3"/>
    <w:rsid w:val="00967C69"/>
    <w:rsid w:val="009945A7"/>
    <w:rsid w:val="009A06A0"/>
    <w:rsid w:val="009A2642"/>
    <w:rsid w:val="009C4961"/>
    <w:rsid w:val="009E4662"/>
    <w:rsid w:val="00A02EB0"/>
    <w:rsid w:val="00A17C95"/>
    <w:rsid w:val="00A703C2"/>
    <w:rsid w:val="00A969BF"/>
    <w:rsid w:val="00A978AC"/>
    <w:rsid w:val="00AA3404"/>
    <w:rsid w:val="00AF0FF9"/>
    <w:rsid w:val="00B229FF"/>
    <w:rsid w:val="00B23E80"/>
    <w:rsid w:val="00B35B12"/>
    <w:rsid w:val="00B74D35"/>
    <w:rsid w:val="00BB1265"/>
    <w:rsid w:val="00BF518C"/>
    <w:rsid w:val="00C0017E"/>
    <w:rsid w:val="00C61D23"/>
    <w:rsid w:val="00C70058"/>
    <w:rsid w:val="00CD4AED"/>
    <w:rsid w:val="00D319EC"/>
    <w:rsid w:val="00D6706B"/>
    <w:rsid w:val="00D95CC5"/>
    <w:rsid w:val="00DF2EAA"/>
    <w:rsid w:val="00E0435B"/>
    <w:rsid w:val="00E91226"/>
    <w:rsid w:val="00E96EC4"/>
    <w:rsid w:val="00EC6EA4"/>
    <w:rsid w:val="00EE41AB"/>
    <w:rsid w:val="00F04FAF"/>
    <w:rsid w:val="00F06777"/>
    <w:rsid w:val="00F0715B"/>
    <w:rsid w:val="00F63904"/>
    <w:rsid w:val="00FA736D"/>
    <w:rsid w:val="00FB539E"/>
    <w:rsid w:val="00FC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8"/>
  </w:style>
  <w:style w:type="paragraph" w:styleId="Titlu1">
    <w:name w:val="heading 1"/>
    <w:basedOn w:val="Normal"/>
    <w:next w:val="Normal"/>
    <w:link w:val="Titlu1Caracte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E41AB"/>
  </w:style>
  <w:style w:type="paragraph" w:styleId="Subsol">
    <w:name w:val="footer"/>
    <w:basedOn w:val="Normal"/>
    <w:link w:val="SubsolCaracte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E41AB"/>
  </w:style>
  <w:style w:type="paragraph" w:styleId="Dat">
    <w:name w:val="Date"/>
    <w:basedOn w:val="Normal"/>
    <w:next w:val="Normal"/>
    <w:link w:val="DatCaracte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Caracter">
    <w:name w:val="Dată Caracter"/>
    <w:basedOn w:val="Fontdeparagrafimplicit"/>
    <w:link w:val="Dat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Frspaiere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Robust">
    <w:name w:val="Strong"/>
    <w:basedOn w:val="Fontdeparagrafimplicit"/>
    <w:uiPriority w:val="10"/>
    <w:qFormat/>
    <w:rsid w:val="00EE41AB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Titlu1Caracter">
    <w:name w:val="Titlu 1 Caracter"/>
    <w:basedOn w:val="Fontdeparagrafimplicit"/>
    <w:link w:val="Titlu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cuprins">
    <w:name w:val="TOC Heading"/>
    <w:basedOn w:val="Titlu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Cuprins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Titlu2Caracter">
    <w:name w:val="Titlu 2 Caracter"/>
    <w:basedOn w:val="Fontdeparagrafimplicit"/>
    <w:link w:val="Titlu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uprins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Accentuat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GrilTabel">
    <w:name w:val="Table Grid"/>
    <w:basedOn w:val="TabelNormal"/>
    <w:uiPriority w:val="59"/>
    <w:rsid w:val="00D3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Umbriremedie2-Accentuare11">
    <w:name w:val="Umbrire medie 2 - Accentuare 11"/>
    <w:basedOn w:val="TabelNormal"/>
    <w:uiPriority w:val="64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deculoaredeschis-Accentuare6">
    <w:name w:val="Light Grid Accent 6"/>
    <w:basedOn w:val="TabelNormal"/>
    <w:uiPriority w:val="62"/>
    <w:rsid w:val="00D31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Fontdeparagrafimplicit"/>
    <w:rsid w:val="002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ms.logonback2life.eu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80DB5C-304E-4410-BBC8-ECC02C0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gc</cp:lastModifiedBy>
  <cp:revision>34</cp:revision>
  <cp:lastPrinted>2017-03-30T08:29:00Z</cp:lastPrinted>
  <dcterms:created xsi:type="dcterms:W3CDTF">2017-03-30T08:05:00Z</dcterms:created>
  <dcterms:modified xsi:type="dcterms:W3CDTF">2018-07-01T08:49:00Z</dcterms:modified>
</cp:coreProperties>
</file>